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1BCB10DB"/>
    <w:rsid w:val="3B187D45"/>
    <w:rsid w:val="4B942AD9"/>
    <w:rsid w:val="5C1319C2"/>
    <w:rsid w:val="62FE0ECD"/>
    <w:rsid w:val="69586B5E"/>
    <w:rsid w:val="6BCE3F1F"/>
    <w:rsid w:val="6D325918"/>
    <w:rsid w:val="74A9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437</Characters>
  <Lines>0</Lines>
  <Paragraphs>0</Paragraphs>
  <TotalTime>2</TotalTime>
  <ScaleCrop>false</ScaleCrop>
  <LinksUpToDate>false</LinksUpToDate>
  <CharactersWithSpaces>437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晨晨晨小苒</cp:lastModifiedBy>
  <cp:lastPrinted>2025-10-28T03:14:52Z</cp:lastPrinted>
  <dcterms:modified xsi:type="dcterms:W3CDTF">2025-10-28T08:56:53Z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C3BC5BE2067B45179C09423DC1A84C68_13</vt:lpwstr>
  </property>
  <property fmtid="{D5CDD505-2E9C-101B-9397-08002B2CF9AE}" pid="4" name="KSOTemplateDocerSaveRecord">
    <vt:lpwstr>eyJoZGlkIjoiZTY2NmQxMjk1ODU1MTA2ZmQ3NmI4MWE3MGJjZTEyY2QiLCJ1c2VySWQiOiI2MjI3MjIxMTkifQ==</vt:lpwstr>
  </property>
</Properties>
</file>